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8D" w:rsidRPr="00376275" w:rsidRDefault="007022B7" w:rsidP="00C659A6">
      <w:pPr>
        <w:spacing w:after="240"/>
        <w:jc w:val="both"/>
        <w:rPr>
          <w:rFonts w:ascii="Times New Roman" w:hAnsi="Times New Roman" w:cs="Times New Roman"/>
        </w:rPr>
      </w:pPr>
      <w:r w:rsidRPr="00376275">
        <w:rPr>
          <w:rFonts w:ascii="Times New Roman" w:hAnsi="Times New Roman" w:cs="Times New Roman"/>
          <w:b/>
          <w:sz w:val="28"/>
        </w:rPr>
        <w:t>PUBLIC NOTICE OF A COMPARATIVE EVALUATION PROCEDURE FOR THE AWARDING, ON A PAID BASIS, OF NO. 3 TEACHING ASSIGNMENTS FOR THE A.Y. 2026/2027 PURSUANT TO ART. 23, PARAGRAPH 2 OF LAW NO. 240 OF DECEMBER 30, 2010 FOR THE MASTER'S DEGREE COURSE LM41 MEDICINE AND SURGERY – IN ENGLISH</w:t>
      </w:r>
    </w:p>
    <w:p w:rsidR="00D27D8D" w:rsidRPr="00376275" w:rsidRDefault="007022B7" w:rsidP="00C659A6">
      <w:pPr>
        <w:spacing w:after="240"/>
        <w:jc w:val="center"/>
        <w:rPr>
          <w:rFonts w:ascii="Times New Roman" w:hAnsi="Times New Roman" w:cs="Times New Roman"/>
        </w:rPr>
      </w:pPr>
      <w:r w:rsidRPr="00376275">
        <w:rPr>
          <w:rFonts w:ascii="Times New Roman" w:hAnsi="Times New Roman" w:cs="Times New Roman"/>
          <w:b/>
          <w:sz w:val="24"/>
        </w:rPr>
        <w:t>THE HEAD OF THE DEPARTMENT</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Articles 2222 et seq. and 2229 et seq. of the Italian Civil Code;</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Art. 409 of the Italian Code of Civil Procedure, as amended by Law 81/2017;</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Law November 4, 2005, no. 230, containing "New provisions concerning university professors and researchers and delegation to the Government for the reorganization of university professor recruitment" and, in particular, Article 1, paragraph 16;</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Law December 30, 2010, no. 240 "Norms regarding the organization of universities, academic staff and recruitment, as well as delegation to the Government to incentivize the quality and efficiency of the university system", and in particular Art. 18 and 23;</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Law June 29, 2022, no. 79, converting emergency decree-law April 30, 2022, no. 36, containing "Further urgent measures for the implementation of the National Recovery and Resilience Plan (NRRP)", and, in particular, Article 14;</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Ministerial Decree July 21, 2011, no. 313 containing provisions regarding the economic treatment due to holders of contracts for teaching activities;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Art. 53 of the D.P.R. 22/12/1986 no. 917 (T.U.I.R. on income taxes);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the D.P.R. no. 62 of April 16, 2013;</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Art. 65 of Legislative Decree no. 30/2005 as amended;</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Art. 2 of Legislative Decree no. 81/2015;</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Art. 7 of Legislative Decree no. 165/2001 as amended by Legislative Decree no. 75/2017;</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resolution 20/2009 of the Central Section for Control of Legitimacy, which considered teaching assignments and technical-specialist teaching support assignments to be excluded from the regulatory provision of Art. 17 c. 30 of D.L. 78/2009 converted, with amendments, into Law 102/2009 (ex-ante control of legitimacy by the Court of Auditors on acts and contracts);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 xml:space="preserve">Having regard to resolution SCCLEG/7/2017/PREV, by which the Court of Auditors, Central Section for the ex-ante control of legitimacy on acts of the Government and State Administrations, also considering some rulings expressed in the past under the pre-existing legislative framework, gave a non-merely literal but systematic interpretation of Art. 1 paragraph 303 of law 232/2016 and </w:t>
      </w:r>
      <w:r w:rsidRPr="00376275">
        <w:rPr>
          <w:rFonts w:ascii="Times New Roman" w:hAnsi="Times New Roman" w:cs="Times New Roman"/>
        </w:rPr>
        <w:lastRenderedPageBreak/>
        <w:t>therefore, under the current regulatory framework, the ex-ante control of legitimacy exercised by the Court of Auditors must be considered no longer applicable to the acts of appointment, of any nature, and for the assignments referred to in Article 7, paragraph 6, of Legislative Decree no. 165/2001 entered into by State Universities;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the University Statute;</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the University Teaching Regulations;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the "Regulations concerning teaching assignments" issued by Rectoral Decree no. 1033 of August 23, 2022;</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EU Regulation 2016/679 (GDPR) concerning the protection of natural persons with regard to the processing of personal data;</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Acknowledging that it was not possible to cover the teaching modules referred to in this notice with Professors and Researchers of the University;</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regard to the resolution adopted by the Council of the Department of Experimental and Clinical Medicine on 25/03/2026 regarding the coverage of the Educational Planning of the Degree Courses for the A.Y. 2026/2027;</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verified the financial coverage on the University budget UA.A DIP;</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Having evaluated every appropriate element,</w:t>
      </w:r>
    </w:p>
    <w:p w:rsidR="00D27D8D" w:rsidRPr="00376275" w:rsidRDefault="007022B7" w:rsidP="00C659A6">
      <w:pPr>
        <w:spacing w:before="240" w:after="240"/>
        <w:jc w:val="center"/>
        <w:rPr>
          <w:rFonts w:ascii="Times New Roman" w:hAnsi="Times New Roman" w:cs="Times New Roman"/>
        </w:rPr>
      </w:pPr>
      <w:r w:rsidRPr="00376275">
        <w:rPr>
          <w:rFonts w:ascii="Times New Roman" w:hAnsi="Times New Roman" w:cs="Times New Roman"/>
          <w:b/>
          <w:sz w:val="24"/>
        </w:rPr>
        <w:t>DECREES</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 xml:space="preserve">A comparative evaluation procedure is hereby announced for the awarding, on a paid basis, of </w:t>
      </w:r>
      <w:r w:rsidRPr="00376275">
        <w:rPr>
          <w:rFonts w:ascii="Times New Roman" w:hAnsi="Times New Roman" w:cs="Times New Roman"/>
          <w:b/>
        </w:rPr>
        <w:t>no. 3 teaching assignments</w:t>
      </w:r>
      <w:r w:rsidRPr="00376275">
        <w:rPr>
          <w:rFonts w:ascii="Times New Roman" w:hAnsi="Times New Roman" w:cs="Times New Roman"/>
        </w:rPr>
        <w:t xml:space="preserve"> for the academic year 2026/2027, to be held in the English language.</w:t>
      </w:r>
    </w:p>
    <w:p w:rsidR="00D27D8D" w:rsidRPr="00376275" w:rsidRDefault="007022B7" w:rsidP="00C659A6">
      <w:pPr>
        <w:keepNext/>
        <w:spacing w:before="360"/>
        <w:jc w:val="center"/>
        <w:rPr>
          <w:rFonts w:ascii="Times New Roman" w:hAnsi="Times New Roman" w:cs="Times New Roman"/>
        </w:rPr>
      </w:pPr>
      <w:r w:rsidRPr="00376275">
        <w:rPr>
          <w:rFonts w:ascii="Times New Roman" w:hAnsi="Times New Roman" w:cs="Times New Roman"/>
          <w:b/>
          <w:sz w:val="26"/>
        </w:rPr>
        <w:t>Article 1 – Subject of the Selection</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This comparative evaluation procedure is intended to select individuals available to accept the paid assignments for the following teaching modules for the academic year 2026/2027 which are vacant at the Department of Experimental and Clinical Medicine, through private law contracts, pursuant to Article 23, paragraph 2, of Law December 30, 2010, no. 240:</w:t>
      </w:r>
    </w:p>
    <w:p w:rsidR="00C659A6" w:rsidRPr="00376275" w:rsidRDefault="00C659A6" w:rsidP="00C659A6">
      <w:pPr>
        <w:jc w:val="both"/>
        <w:rPr>
          <w:rFonts w:ascii="Times New Roman" w:hAnsi="Times New Roman" w:cs="Times New Roman"/>
          <w:b/>
        </w:rPr>
      </w:pPr>
    </w:p>
    <w:p w:rsidR="00D27D8D" w:rsidRPr="00376275" w:rsidRDefault="007022B7" w:rsidP="00C659A6">
      <w:pPr>
        <w:jc w:val="both"/>
        <w:rPr>
          <w:rFonts w:ascii="Times New Roman" w:hAnsi="Times New Roman" w:cs="Times New Roman"/>
        </w:rPr>
      </w:pPr>
      <w:r w:rsidRPr="00376275">
        <w:rPr>
          <w:rFonts w:ascii="Times New Roman" w:hAnsi="Times New Roman" w:cs="Times New Roman"/>
          <w:b/>
        </w:rPr>
        <w:t>LM41 MEDICINE AND SURGERY</w:t>
      </w:r>
    </w:p>
    <w:tbl>
      <w:tblPr>
        <w:tblStyle w:val="Grigliatabella"/>
        <w:tblW w:w="0" w:type="auto"/>
        <w:jc w:val="center"/>
        <w:shd w:val="clear" w:color="auto" w:fill="FFFFFF" w:themeFill="background1"/>
        <w:tblLook w:val="04A0" w:firstRow="1" w:lastRow="0" w:firstColumn="1" w:lastColumn="0" w:noHBand="0" w:noVBand="1"/>
      </w:tblPr>
      <w:tblGrid>
        <w:gridCol w:w="1383"/>
        <w:gridCol w:w="1337"/>
        <w:gridCol w:w="828"/>
        <w:gridCol w:w="709"/>
        <w:gridCol w:w="851"/>
        <w:gridCol w:w="1417"/>
        <w:gridCol w:w="2887"/>
      </w:tblGrid>
      <w:tr w:rsidR="00C659A6" w:rsidRPr="00376275" w:rsidTr="00C659A6">
        <w:trPr>
          <w:jc w:val="center"/>
        </w:trPr>
        <w:tc>
          <w:tcPr>
            <w:tcW w:w="133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b/>
                <w:sz w:val="19"/>
              </w:rPr>
              <w:t>Teaching Module</w:t>
            </w:r>
          </w:p>
        </w:tc>
        <w:tc>
          <w:tcPr>
            <w:tcW w:w="133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b/>
                <w:sz w:val="19"/>
              </w:rPr>
              <w:t>SSD</w:t>
            </w:r>
          </w:p>
        </w:tc>
        <w:tc>
          <w:tcPr>
            <w:tcW w:w="828"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b/>
                <w:sz w:val="19"/>
              </w:rPr>
              <w:t>YEAR</w:t>
            </w:r>
          </w:p>
        </w:tc>
        <w:tc>
          <w:tcPr>
            <w:tcW w:w="709"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b/>
                <w:sz w:val="19"/>
              </w:rPr>
              <w:t>SEM</w:t>
            </w:r>
          </w:p>
        </w:tc>
        <w:tc>
          <w:tcPr>
            <w:tcW w:w="851"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b/>
                <w:sz w:val="19"/>
              </w:rPr>
              <w:t>CFU</w:t>
            </w:r>
          </w:p>
        </w:tc>
        <w:tc>
          <w:tcPr>
            <w:tcW w:w="141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b/>
                <w:sz w:val="19"/>
              </w:rPr>
              <w:t>Lecture Hours</w:t>
            </w:r>
          </w:p>
        </w:tc>
        <w:tc>
          <w:tcPr>
            <w:tcW w:w="288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b/>
                <w:sz w:val="19"/>
              </w:rPr>
              <w:t>Compensation gross of duties borne by the recipient*</w:t>
            </w:r>
          </w:p>
        </w:tc>
      </w:tr>
      <w:tr w:rsidR="00C659A6" w:rsidRPr="00376275" w:rsidTr="00C659A6">
        <w:trPr>
          <w:jc w:val="center"/>
        </w:trPr>
        <w:tc>
          <w:tcPr>
            <w:tcW w:w="133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HUMAN ANATOMY I</w:t>
            </w:r>
          </w:p>
        </w:tc>
        <w:tc>
          <w:tcPr>
            <w:tcW w:w="133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BIOS-12/A</w:t>
            </w:r>
          </w:p>
        </w:tc>
        <w:tc>
          <w:tcPr>
            <w:tcW w:w="828"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1</w:t>
            </w:r>
          </w:p>
        </w:tc>
        <w:tc>
          <w:tcPr>
            <w:tcW w:w="709"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2</w:t>
            </w:r>
          </w:p>
        </w:tc>
        <w:tc>
          <w:tcPr>
            <w:tcW w:w="851"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5</w:t>
            </w:r>
          </w:p>
        </w:tc>
        <w:tc>
          <w:tcPr>
            <w:tcW w:w="141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62.5</w:t>
            </w:r>
          </w:p>
        </w:tc>
        <w:tc>
          <w:tcPr>
            <w:tcW w:w="288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 1,562.50</w:t>
            </w:r>
          </w:p>
        </w:tc>
      </w:tr>
      <w:tr w:rsidR="00C659A6" w:rsidRPr="00376275" w:rsidTr="00C659A6">
        <w:trPr>
          <w:jc w:val="center"/>
        </w:trPr>
        <w:tc>
          <w:tcPr>
            <w:tcW w:w="133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lastRenderedPageBreak/>
              <w:t>HISTORY OF MEDICINE</w:t>
            </w:r>
          </w:p>
        </w:tc>
        <w:tc>
          <w:tcPr>
            <w:tcW w:w="133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MEDS-02/C</w:t>
            </w:r>
          </w:p>
        </w:tc>
        <w:tc>
          <w:tcPr>
            <w:tcW w:w="828"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1</w:t>
            </w:r>
          </w:p>
        </w:tc>
        <w:tc>
          <w:tcPr>
            <w:tcW w:w="709"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1</w:t>
            </w:r>
          </w:p>
        </w:tc>
        <w:tc>
          <w:tcPr>
            <w:tcW w:w="851"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1</w:t>
            </w:r>
          </w:p>
        </w:tc>
        <w:tc>
          <w:tcPr>
            <w:tcW w:w="141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12.5</w:t>
            </w:r>
          </w:p>
        </w:tc>
        <w:tc>
          <w:tcPr>
            <w:tcW w:w="288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 312.50</w:t>
            </w:r>
          </w:p>
        </w:tc>
      </w:tr>
      <w:tr w:rsidR="00C659A6" w:rsidRPr="00376275" w:rsidTr="00C659A6">
        <w:trPr>
          <w:jc w:val="center"/>
        </w:trPr>
        <w:tc>
          <w:tcPr>
            <w:tcW w:w="133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MEDICAL HUMANITIES</w:t>
            </w:r>
          </w:p>
        </w:tc>
        <w:tc>
          <w:tcPr>
            <w:tcW w:w="133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MEDS-02/C</w:t>
            </w:r>
          </w:p>
        </w:tc>
        <w:tc>
          <w:tcPr>
            <w:tcW w:w="828"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1</w:t>
            </w:r>
          </w:p>
        </w:tc>
        <w:tc>
          <w:tcPr>
            <w:tcW w:w="709"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1</w:t>
            </w:r>
          </w:p>
        </w:tc>
        <w:tc>
          <w:tcPr>
            <w:tcW w:w="851"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1</w:t>
            </w:r>
          </w:p>
        </w:tc>
        <w:tc>
          <w:tcPr>
            <w:tcW w:w="141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12.5</w:t>
            </w:r>
          </w:p>
        </w:tc>
        <w:tc>
          <w:tcPr>
            <w:tcW w:w="2887" w:type="dxa"/>
            <w:shd w:val="clear" w:color="auto" w:fill="FFFFFF" w:themeFill="background1"/>
            <w:tcMar>
              <w:top w:w="100" w:type="dxa"/>
              <w:left w:w="100" w:type="dxa"/>
              <w:bottom w:w="100" w:type="dxa"/>
              <w:right w:w="100" w:type="dxa"/>
            </w:tcMar>
          </w:tcPr>
          <w:p w:rsidR="00D27D8D" w:rsidRPr="00376275" w:rsidRDefault="007022B7" w:rsidP="00C659A6">
            <w:pPr>
              <w:jc w:val="center"/>
              <w:rPr>
                <w:rFonts w:ascii="Times New Roman" w:hAnsi="Times New Roman" w:cs="Times New Roman"/>
              </w:rPr>
            </w:pPr>
            <w:r w:rsidRPr="00376275">
              <w:rPr>
                <w:rFonts w:ascii="Times New Roman" w:hAnsi="Times New Roman" w:cs="Times New Roman"/>
                <w:sz w:val="19"/>
              </w:rPr>
              <w:t>€. 312.50</w:t>
            </w:r>
          </w:p>
        </w:tc>
      </w:tr>
    </w:tbl>
    <w:p w:rsidR="00D27D8D" w:rsidRPr="00376275" w:rsidRDefault="007022B7" w:rsidP="00C659A6">
      <w:pPr>
        <w:spacing w:before="120"/>
        <w:jc w:val="both"/>
        <w:rPr>
          <w:rFonts w:ascii="Times New Roman" w:hAnsi="Times New Roman" w:cs="Times New Roman"/>
        </w:rPr>
      </w:pPr>
      <w:r w:rsidRPr="00376275">
        <w:rPr>
          <w:rFonts w:ascii="Times New Roman" w:hAnsi="Times New Roman" w:cs="Times New Roman"/>
          <w:i/>
          <w:sz w:val="19"/>
        </w:rPr>
        <w:t>*Inclusive of preparation activities, student support, and assessment of learning related to the teaching provided (integrative and subsidiary teaching).</w:t>
      </w:r>
    </w:p>
    <w:p w:rsidR="00D27D8D" w:rsidRPr="00376275" w:rsidRDefault="007022B7" w:rsidP="00C659A6">
      <w:pPr>
        <w:keepNext/>
        <w:spacing w:before="360"/>
        <w:jc w:val="center"/>
        <w:rPr>
          <w:rFonts w:ascii="Times New Roman" w:hAnsi="Times New Roman" w:cs="Times New Roman"/>
        </w:rPr>
      </w:pPr>
      <w:r w:rsidRPr="00376275">
        <w:rPr>
          <w:rFonts w:ascii="Times New Roman" w:hAnsi="Times New Roman" w:cs="Times New Roman"/>
          <w:b/>
          <w:sz w:val="26"/>
        </w:rPr>
        <w:t>Article 2 – Duration and Remuneration of the Assignment</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 xml:space="preserve">The activity will begin on September </w:t>
      </w:r>
      <w:r w:rsidR="00C659A6" w:rsidRPr="00376275">
        <w:rPr>
          <w:rFonts w:ascii="Times New Roman" w:hAnsi="Times New Roman" w:cs="Times New Roman"/>
        </w:rPr>
        <w:t>21</w:t>
      </w:r>
      <w:r w:rsidRPr="00376275">
        <w:rPr>
          <w:rFonts w:ascii="Times New Roman" w:hAnsi="Times New Roman" w:cs="Times New Roman"/>
        </w:rPr>
        <w:t>, 2026, and will end on April 30, 2028.</w:t>
      </w:r>
      <w:r w:rsidRPr="00376275">
        <w:rPr>
          <w:rFonts w:ascii="Times New Roman" w:hAnsi="Times New Roman" w:cs="Times New Roman"/>
        </w:rPr>
        <w:br/>
        <w:t>The Department, subject to a positive evaluation of the activity carried out, reserves the possibility of renewing the assignment for subsequent years as provided for by Art. 7, paragraph 1 of the University Regulations indicated in the preamble (if annual, they can be renewed for no more than two times).</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 xml:space="preserve">The hourly compensation is equal to </w:t>
      </w:r>
      <w:r w:rsidRPr="00376275">
        <w:rPr>
          <w:rFonts w:ascii="Times New Roman" w:hAnsi="Times New Roman" w:cs="Times New Roman"/>
          <w:b/>
        </w:rPr>
        <w:t>€. 25.00</w:t>
      </w:r>
      <w:r w:rsidRPr="00376275">
        <w:rPr>
          <w:rFonts w:ascii="Times New Roman" w:hAnsi="Times New Roman" w:cs="Times New Roman"/>
        </w:rPr>
        <w:t xml:space="preserve"> gross of the duties borne by the recipient, defined pursuant to Article 16 of the Regulations concerning teaching assignments.</w:t>
      </w:r>
      <w:r w:rsidRPr="00376275">
        <w:rPr>
          <w:rFonts w:ascii="Times New Roman" w:hAnsi="Times New Roman" w:cs="Times New Roman"/>
        </w:rPr>
        <w:br/>
        <w:t>The aforementioned compensation will be charged to funds other than the Ordinary Financing Fund (UA.A DIP) and will be paid in a single final installment upon completion of the lectures and remaining related activities.</w:t>
      </w:r>
    </w:p>
    <w:p w:rsidR="00D27D8D" w:rsidRPr="00376275" w:rsidRDefault="007022B7" w:rsidP="00C659A6">
      <w:pPr>
        <w:keepNext/>
        <w:spacing w:before="360"/>
        <w:jc w:val="center"/>
        <w:rPr>
          <w:rFonts w:ascii="Times New Roman" w:hAnsi="Times New Roman" w:cs="Times New Roman"/>
        </w:rPr>
      </w:pPr>
      <w:r w:rsidRPr="00376275">
        <w:rPr>
          <w:rFonts w:ascii="Times New Roman" w:hAnsi="Times New Roman" w:cs="Times New Roman"/>
          <w:b/>
          <w:sz w:val="26"/>
        </w:rPr>
        <w:t>Article 3 – Obligations and Rights of the Appointees</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The holders of the teaching assignment have the right to access the University network, online library services, and an email account at Unifi. Access to the aforementioned services and any other service or application necessary for the execution of the teaching activity is guaranteed for the entire duration of the assignment.</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Holders of the teaching assignment are required to:</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Personally carry out the teaching activities, respecting the timetables agreed upon with the School, and the methods and programs of the teaching module agreed upon with the Degree Course on the basis of educational planning;</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Carry out tutoring and student orientation duties, participate in exam boards for profit evaluation, and the final exam for the attainment of the qualification;</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Use the online grading service with digital signature for profit exams throughout the duration of the contract;</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Enter the teaching syllabus and other required indications on the Syllabus platform;</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lastRenderedPageBreak/>
        <w:t>Make their curriculum vitae et studiorum available so that it can be accessible on the University website;</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Note down data relating to the teaching activity carried out in the appropriate lesson register, as provided for by the current University Teaching Regulations;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Respect the rules of the Statute, the Teaching Regulations, and the University Code of Ethics.</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Without prejudice to the priority and full fulfillment of contractual obligations, the holders of the teaching assignment must not find themselves in situations of conflict of interest, even potential, with the University.</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The contract is automatically terminated in the event of serious violations of the provisions contemplated by paragraphs 2 and 3, or if the appointee does not start the prescribed activities within the deadline established by the contract itself, or for other justified serious reasons, attributable to the assigned teacher, which jeopardize the entire performance.</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The contract is also terminated by law in the cases provided for by the law, or if it becomes objectively impossible to fulfill the performance due to subsequent proven reasons. In this case, the assigned teacher is entitled to compensation equal to the part of the activity actually performed and certified by the head of the competent structure.</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Holders of the teaching assignment participate in the Degree Course Councils pursuant to Article 33, paragraph 4-ter, of the University Statute.</w:t>
      </w:r>
      <w:r w:rsidR="00C659A6" w:rsidRPr="00376275">
        <w:rPr>
          <w:rFonts w:ascii="Times New Roman" w:hAnsi="Times New Roman" w:cs="Times New Roman"/>
        </w:rPr>
        <w:t xml:space="preserve"> </w:t>
      </w:r>
      <w:r w:rsidRPr="00376275">
        <w:rPr>
          <w:rFonts w:ascii="Times New Roman" w:hAnsi="Times New Roman" w:cs="Times New Roman"/>
        </w:rPr>
        <w:t>The stipulation of contracts for teaching activities pursuant to this article does not give rise to rights regarding access to university roles but allows the calculation of any future appointments of those who have held contracts within the scope of the restricted resources referred to in Article 18, paragraph 4, of Law December 30, 2010, no. 240.</w:t>
      </w:r>
      <w:r w:rsidR="00C659A6" w:rsidRPr="00376275">
        <w:rPr>
          <w:rFonts w:ascii="Times New Roman" w:hAnsi="Times New Roman" w:cs="Times New Roman"/>
        </w:rPr>
        <w:t xml:space="preserve"> </w:t>
      </w:r>
      <w:r w:rsidRPr="00376275">
        <w:rPr>
          <w:rFonts w:ascii="Times New Roman" w:hAnsi="Times New Roman" w:cs="Times New Roman"/>
        </w:rPr>
        <w:t xml:space="preserve">The holder of the contract </w:t>
      </w:r>
      <w:proofErr w:type="gramStart"/>
      <w:r w:rsidRPr="00376275">
        <w:rPr>
          <w:rFonts w:ascii="Times New Roman" w:hAnsi="Times New Roman" w:cs="Times New Roman"/>
        </w:rPr>
        <w:t>is allowed</w:t>
      </w:r>
      <w:proofErr w:type="gramEnd"/>
      <w:r w:rsidRPr="00376275">
        <w:rPr>
          <w:rFonts w:ascii="Times New Roman" w:hAnsi="Times New Roman" w:cs="Times New Roman"/>
        </w:rPr>
        <w:t xml:space="preserve"> to use the title of contract professor exclusively for the duration of the assignment.</w:t>
      </w:r>
    </w:p>
    <w:p w:rsidR="00D27D8D" w:rsidRPr="00376275" w:rsidRDefault="007022B7" w:rsidP="00C659A6">
      <w:pPr>
        <w:keepNext/>
        <w:spacing w:before="360"/>
        <w:jc w:val="center"/>
        <w:rPr>
          <w:rFonts w:ascii="Times New Roman" w:hAnsi="Times New Roman" w:cs="Times New Roman"/>
        </w:rPr>
      </w:pPr>
      <w:r w:rsidRPr="00376275">
        <w:rPr>
          <w:rFonts w:ascii="Times New Roman" w:hAnsi="Times New Roman" w:cs="Times New Roman"/>
          <w:b/>
          <w:sz w:val="26"/>
        </w:rPr>
        <w:t>Article 4 – General and Special Requirements</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Those who possess the following general requirements are admitted to participate:</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a.1) Italian citizenship;</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a.2) Citizens of European Union Member States must possess the following requirements: enjoy civil and political rights in their States of origin or provenance; possess all other requirements provided for citizens of the Italian Republic, with the exception of Italian citizenship; have adequate knowledge of the Italian language;</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a.3) For non-EU citizens, in addition to what is stated under a.2): to be holders of a residence permit pursuant to Legislative Decree no. 286 of 1998, as amended, or to hold refugee status or subsidiary protection status. In the event that they do not possess a residence permit at the time of awarding the self-employment assignment carried out in the form of coordinated collaboration (collaborazione coordinata), the candidate must demonstrate at least to have applied for it pursuant to Legislative Decree 286/1998. The cases referred to in Art. 5 where an entry visa alone is sufficient remain unaffected;</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Enjoyment of political rights;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Age not less than 18 years;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Not having received a criminal conviction in Italy or abroad, nor having pending criminal records recordable in the judicial register (casellario giudiziario) pursuant to art. 686 of the Italian Code of Criminal Procedure or other measures that exclude from appointment or cause dismissal from employment in Public Administrations.</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Candidates must also possess the following specific requirements (by way of example):</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Old system Degree (Vecchio Ordinamento), Master’s Degree (Laurea Magistrale), or Specialist Degree (Laurea Specialistica) in the subject area of this Notice.</w:t>
      </w:r>
    </w:p>
    <w:p w:rsidR="00D27D8D" w:rsidRPr="00376275" w:rsidRDefault="007022B7" w:rsidP="00C659A6">
      <w:pPr>
        <w:pStyle w:val="Puntoelenco"/>
        <w:rPr>
          <w:rFonts w:ascii="Times New Roman" w:hAnsi="Times New Roman" w:cs="Times New Roman"/>
        </w:rPr>
      </w:pPr>
      <w:r w:rsidRPr="00376275">
        <w:rPr>
          <w:rFonts w:ascii="Times New Roman" w:hAnsi="Times New Roman" w:cs="Times New Roman"/>
        </w:rPr>
        <w:t>C1 level language proficiency in English, which can be demonstrated through the possession of one of the following requirements:</w:t>
      </w:r>
      <w:r w:rsidRPr="00376275">
        <w:rPr>
          <w:rFonts w:ascii="Times New Roman" w:hAnsi="Times New Roman" w:cs="Times New Roman"/>
        </w:rPr>
        <w:br/>
        <w:t>• Being a native speaker;</w:t>
      </w:r>
      <w:r w:rsidRPr="00376275">
        <w:rPr>
          <w:rFonts w:ascii="Times New Roman" w:hAnsi="Times New Roman" w:cs="Times New Roman"/>
        </w:rPr>
        <w:br/>
        <w:t>• Possessing a certificate of knowledge of the foreign language used in the course of at least level C1 (the Language Ability Test (TAL) C1 from the University Language Center is also considered valid);</w:t>
      </w:r>
      <w:r w:rsidRPr="00376275">
        <w:rPr>
          <w:rFonts w:ascii="Times New Roman" w:hAnsi="Times New Roman" w:cs="Times New Roman"/>
        </w:rPr>
        <w:br/>
        <w:t>• Possessing a degree/master's degree in the disciplinary field of modern languages, translation, and interpreting, in the language of delivery of the teaching modules in this notice;</w:t>
      </w:r>
      <w:r w:rsidRPr="00376275">
        <w:rPr>
          <w:rFonts w:ascii="Times New Roman" w:hAnsi="Times New Roman" w:cs="Times New Roman"/>
        </w:rPr>
        <w:br/>
        <w:t>• Possessing a teaching qualification in the competition class (classe di concorso) relating to the language of delivery of the teaching module;</w:t>
      </w:r>
      <w:r w:rsidRPr="00376275">
        <w:rPr>
          <w:rFonts w:ascii="Times New Roman" w:hAnsi="Times New Roman" w:cs="Times New Roman"/>
        </w:rPr>
        <w:br/>
        <w:t>• Having carried out a study period of at least 3 consecutive months (at pre-university, university, or post-university level) in a foreign country where the language of delivery of the course is used;</w:t>
      </w:r>
      <w:r w:rsidRPr="00376275">
        <w:rPr>
          <w:rFonts w:ascii="Times New Roman" w:hAnsi="Times New Roman" w:cs="Times New Roman"/>
        </w:rPr>
        <w:br/>
        <w:t>• Having spent a period of at least 3 months, even non-consecutive, for academic, research, or work activities in a foreign country where the language of delivery of the course is used;</w:t>
      </w:r>
      <w:r w:rsidRPr="00376275">
        <w:rPr>
          <w:rFonts w:ascii="Times New Roman" w:hAnsi="Times New Roman" w:cs="Times New Roman"/>
        </w:rPr>
        <w:br/>
        <w:t>• Having carried out a cycle of lectures or readings at international congresses in a foreign language of at least 20 hours or having held a full teaching assignment in a foreign country where the language of delivery of the course is used or at an International University or institution, even if located on Italian territory;</w:t>
      </w:r>
      <w:r w:rsidRPr="00376275">
        <w:rPr>
          <w:rFonts w:ascii="Times New Roman" w:hAnsi="Times New Roman" w:cs="Times New Roman"/>
        </w:rPr>
        <w:br/>
        <w:t>• Having carried out a dissemination activity at international congresses as an invited speaker for a number of years greater than 5;</w:t>
      </w:r>
      <w:r w:rsidRPr="00376275">
        <w:rPr>
          <w:rFonts w:ascii="Times New Roman" w:hAnsi="Times New Roman" w:cs="Times New Roman"/>
        </w:rPr>
        <w:br/>
        <w:t>• Having successfully completed a course in the language of delivery of the teaching module, organized by the University Language Center or other Centers, of at least 30 hours at a level equivalent to or higher than C1.</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Individuals possessing adequate scientific and professional requirements may participate in the selection, provided they do not have a relationship of kinship or affinity, up to and including the fourth degree, with a professor belonging to the Department, or with the Rector, the Director General, or a member of the Board of Directors of the University.</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The holding of contracts governed by these regulations is incompatible with the simultaneous holding of contracts referred to in Article 22 of Law December 30, 2010, no. 240, as amended by Article 14, paragraph 6-septies, of Law June 29, 2022, no. 79, and referred to in Article 24 of the same Law December 30, 2010, no. 240. Incompatibilities governed by Art. 13 of the Presidential Decree of July 11, 1980, no. 382 also apply.</w:t>
      </w:r>
    </w:p>
    <w:p w:rsidR="00C659A6" w:rsidRPr="00376275" w:rsidRDefault="007022B7" w:rsidP="00C659A6">
      <w:pPr>
        <w:jc w:val="both"/>
        <w:rPr>
          <w:rFonts w:ascii="Times New Roman" w:hAnsi="Times New Roman" w:cs="Times New Roman"/>
        </w:rPr>
      </w:pPr>
      <w:r w:rsidRPr="00376275">
        <w:rPr>
          <w:rFonts w:ascii="Times New Roman" w:hAnsi="Times New Roman" w:cs="Times New Roman"/>
        </w:rPr>
        <w:t>With regard to overall teaching, each contractor can carry out teaching activities up to a maximum limit of 120 hours of teaching per academic year.</w:t>
      </w:r>
      <w:r w:rsidR="00C659A6" w:rsidRPr="00376275">
        <w:rPr>
          <w:rFonts w:ascii="Times New Roman" w:hAnsi="Times New Roman" w:cs="Times New Roman"/>
        </w:rPr>
        <w:t xml:space="preserve"> </w:t>
      </w:r>
    </w:p>
    <w:p w:rsidR="00C659A6" w:rsidRPr="00376275" w:rsidRDefault="007022B7" w:rsidP="00C659A6">
      <w:pPr>
        <w:jc w:val="both"/>
        <w:rPr>
          <w:rFonts w:ascii="Times New Roman" w:hAnsi="Times New Roman" w:cs="Times New Roman"/>
        </w:rPr>
      </w:pPr>
      <w:r w:rsidRPr="00376275">
        <w:rPr>
          <w:rFonts w:ascii="Times New Roman" w:hAnsi="Times New Roman" w:cs="Times New Roman"/>
        </w:rPr>
        <w:t>Research fellows (</w:t>
      </w:r>
      <w:proofErr w:type="spellStart"/>
      <w:r w:rsidRPr="00376275">
        <w:rPr>
          <w:rFonts w:ascii="Times New Roman" w:hAnsi="Times New Roman" w:cs="Times New Roman"/>
        </w:rPr>
        <w:t>assegnisti</w:t>
      </w:r>
      <w:proofErr w:type="spellEnd"/>
      <w:r w:rsidRPr="00376275">
        <w:rPr>
          <w:rFonts w:ascii="Times New Roman" w:hAnsi="Times New Roman" w:cs="Times New Roman"/>
        </w:rPr>
        <w:t xml:space="preserve"> di </w:t>
      </w:r>
      <w:proofErr w:type="spellStart"/>
      <w:r w:rsidRPr="00376275">
        <w:rPr>
          <w:rFonts w:ascii="Times New Roman" w:hAnsi="Times New Roman" w:cs="Times New Roman"/>
        </w:rPr>
        <w:t>ricerca</w:t>
      </w:r>
      <w:proofErr w:type="spellEnd"/>
      <w:r w:rsidRPr="00376275">
        <w:rPr>
          <w:rFonts w:ascii="Times New Roman" w:hAnsi="Times New Roman" w:cs="Times New Roman"/>
        </w:rPr>
        <w:t>) can carry out teaching activities up to a maximum overall limit of 60 hours per academic year and in compliance with the provisions of Article 5, paragraph 6, of the University regulations on the awarding of research fellowships pursuant to art. 22 of Law December 30, 2010, no. 240, issued by rectoral decree May 14, 2020, no. 550, which states: "The holder of a research fellowship can carry out self-employment activities only upon prior authorization of the Council of the Administrative Unit, following a reasoned opinion from the scientific supervisor of the fellowship, after verifying that such activity is:</w:t>
      </w:r>
    </w:p>
    <w:p w:rsidR="00D27D8D" w:rsidRPr="00376275" w:rsidRDefault="007022B7" w:rsidP="00C659A6">
      <w:pPr>
        <w:rPr>
          <w:rFonts w:ascii="Times New Roman" w:hAnsi="Times New Roman" w:cs="Times New Roman"/>
        </w:rPr>
      </w:pPr>
      <w:r w:rsidRPr="00376275">
        <w:rPr>
          <w:rFonts w:ascii="Times New Roman" w:hAnsi="Times New Roman" w:cs="Times New Roman"/>
        </w:rPr>
        <w:t>a. compatible with the exercise of the research activity planned for the fellowship;</w:t>
      </w:r>
      <w:r w:rsidRPr="00376275">
        <w:rPr>
          <w:rFonts w:ascii="Times New Roman" w:hAnsi="Times New Roman" w:cs="Times New Roman"/>
        </w:rPr>
        <w:br/>
        <w:t>b. not detrimental to the conduct of research activities;</w:t>
      </w:r>
      <w:r w:rsidRPr="00376275">
        <w:rPr>
          <w:rFonts w:ascii="Times New Roman" w:hAnsi="Times New Roman" w:cs="Times New Roman"/>
        </w:rPr>
        <w:br/>
        <w:t>c. not a bearer of a conflict of interest with the specific research activity carried out;</w:t>
      </w:r>
      <w:r w:rsidRPr="00376275">
        <w:rPr>
          <w:rFonts w:ascii="Times New Roman" w:hAnsi="Times New Roman" w:cs="Times New Roman"/>
        </w:rPr>
        <w:br/>
        <w:t>taking into account also the reporting rules provided by the funding body."</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With reference to PhD students, the provisions of Article 20, paragraph 3, of the University Regulations concerning PhD research, issued by rectoral decree May 12, 2022, no. 575, shall apply.</w:t>
      </w:r>
      <w:r w:rsidRPr="00376275">
        <w:rPr>
          <w:rFonts w:ascii="Times New Roman" w:hAnsi="Times New Roman" w:cs="Times New Roman"/>
        </w:rPr>
        <w:br/>
        <w:t>Technical-administrative staff, CEL (Language Assistants), and contract Lecturers of the University can hold teaching assignments in compliance with the legislation in force on the subject.</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Those whose contracts were previously terminated pursuant to art. 14, paragraph 4, first sentence, of the "Regulations concerning teaching assignments" of Rectoral Decree no. 1033 of August 23, 2022, cannot participate in the selections for a period of five years.</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The aforementioned general and special requirements must be met by the deadline for the submission of the application for participation.</w:t>
      </w:r>
    </w:p>
    <w:p w:rsidR="00D27D8D" w:rsidRPr="00376275" w:rsidRDefault="007022B7" w:rsidP="00C659A6">
      <w:pPr>
        <w:keepNext/>
        <w:spacing w:before="360"/>
        <w:jc w:val="center"/>
        <w:rPr>
          <w:rFonts w:ascii="Times New Roman" w:hAnsi="Times New Roman" w:cs="Times New Roman"/>
        </w:rPr>
      </w:pPr>
      <w:r w:rsidRPr="00376275">
        <w:rPr>
          <w:rFonts w:ascii="Times New Roman" w:hAnsi="Times New Roman" w:cs="Times New Roman"/>
          <w:b/>
          <w:sz w:val="26"/>
        </w:rPr>
        <w:t>Art. 5 – Methods and Deadlines for Submitting Applications</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 xml:space="preserve">5.1 </w:t>
      </w:r>
      <w:r w:rsidRPr="00376275">
        <w:rPr>
          <w:rFonts w:ascii="Times New Roman" w:hAnsi="Times New Roman" w:cs="Times New Roman"/>
          <w:b/>
        </w:rPr>
        <w:t xml:space="preserve">The application for participation, drawn up according to the attached form, must be addressed to the Head of the Department of Experimental and Clinical Medicine of Florence and must arrive no later than </w:t>
      </w:r>
      <w:r w:rsidR="00C659A6" w:rsidRPr="00376275">
        <w:rPr>
          <w:rFonts w:ascii="Times New Roman" w:hAnsi="Times New Roman" w:cs="Times New Roman"/>
          <w:b/>
        </w:rPr>
        <w:t xml:space="preserve">31 </w:t>
      </w:r>
      <w:proofErr w:type="gramStart"/>
      <w:r w:rsidR="00C659A6" w:rsidRPr="00376275">
        <w:rPr>
          <w:rFonts w:ascii="Times New Roman" w:hAnsi="Times New Roman" w:cs="Times New Roman"/>
          <w:b/>
        </w:rPr>
        <w:t>July</w:t>
      </w:r>
      <w:r w:rsidRPr="00376275">
        <w:rPr>
          <w:rFonts w:ascii="Times New Roman" w:hAnsi="Times New Roman" w:cs="Times New Roman"/>
          <w:b/>
        </w:rPr>
        <w:t>,</w:t>
      </w:r>
      <w:proofErr w:type="gramEnd"/>
      <w:r w:rsidR="00C659A6" w:rsidRPr="00376275">
        <w:rPr>
          <w:rFonts w:ascii="Times New Roman" w:hAnsi="Times New Roman" w:cs="Times New Roman"/>
          <w:b/>
        </w:rPr>
        <w:t xml:space="preserve"> 2026,</w:t>
      </w:r>
      <w:r w:rsidRPr="00376275">
        <w:rPr>
          <w:rFonts w:ascii="Times New Roman" w:hAnsi="Times New Roman" w:cs="Times New Roman"/>
          <w:b/>
        </w:rPr>
        <w:t xml:space="preserve"> under penalty of exclusion from the selection procedure</w:t>
      </w:r>
      <w:r w:rsidRPr="00376275">
        <w:rPr>
          <w:rFonts w:ascii="Times New Roman" w:hAnsi="Times New Roman" w:cs="Times New Roman"/>
        </w:rPr>
        <w:t>.</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The following methods of submitting the application are permitted:</w:t>
      </w:r>
    </w:p>
    <w:p w:rsidR="00C659A6"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Via email to the following email address: comunicazione@dmsc.unifi.it. The application must be signed, scanned, and sent together with an unauthenticated photocopy of a valid identity document of the signer;</w:t>
      </w:r>
      <w:r w:rsidR="00C659A6" w:rsidRPr="00376275">
        <w:rPr>
          <w:rFonts w:ascii="Times New Roman" w:hAnsi="Times New Roman" w:cs="Times New Roman"/>
        </w:rPr>
        <w:t xml:space="preserve"> </w:t>
      </w:r>
    </w:p>
    <w:p w:rsidR="00C659A6"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To submit the application, candidates must poss</w:t>
      </w:r>
      <w:r w:rsidR="00C659A6" w:rsidRPr="00376275">
        <w:rPr>
          <w:rFonts w:ascii="Times New Roman" w:hAnsi="Times New Roman" w:cs="Times New Roman"/>
        </w:rPr>
        <w:t>ess a personal email address.</w:t>
      </w:r>
    </w:p>
    <w:p w:rsidR="00C659A6"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All documents attached to the email m</w:t>
      </w:r>
      <w:r w:rsidR="00C659A6" w:rsidRPr="00376275">
        <w:rPr>
          <w:rFonts w:ascii="Times New Roman" w:hAnsi="Times New Roman" w:cs="Times New Roman"/>
        </w:rPr>
        <w:t>essage must be in PDF format.</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The message must contain the following wording in the subject line: "Domanda di partecipazione alla procedura selettiva per incarico di insegnamento presso il Dipartimento di Medicina Sperimentale e Clinica anno accademico 2026/2027";</w:t>
      </w:r>
    </w:p>
    <w:p w:rsidR="00376275"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Via certified email (PEC) to the following certified email address: dmsc@pec.unifi.it. To submit the application, candidates must possess a personally regist</w:t>
      </w:r>
      <w:r w:rsidR="00376275" w:rsidRPr="00376275">
        <w:rPr>
          <w:rFonts w:ascii="Times New Roman" w:hAnsi="Times New Roman" w:cs="Times New Roman"/>
        </w:rPr>
        <w:t>ered certified email address.</w:t>
      </w:r>
    </w:p>
    <w:p w:rsidR="00376275"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All documents attached to the email m</w:t>
      </w:r>
      <w:r w:rsidR="00376275" w:rsidRPr="00376275">
        <w:rPr>
          <w:rFonts w:ascii="Times New Roman" w:hAnsi="Times New Roman" w:cs="Times New Roman"/>
        </w:rPr>
        <w:t>essage must be in PDF format.</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The message must contain the following wording in the subject line: "PEC - Domanda di partecipazione alla procedura selettiva per incarico di insegnamento presso il Dipartimento di Medicina Sperimentale e Clinica anno accademico 2026/2027";</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5.2 In the application for admission to the selection, candidates must state clearly and under their own responsibility, pursuant to the Decree of the President of the Republic no. 445/2000, the following:</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Surname and name, tax code (codice fiscale) (or, if a non-Italian candidate, personal identification code);</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Date and place of birth, residence address;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Possession of Italian citizenship or that of another State;</w:t>
      </w:r>
    </w:p>
    <w:p w:rsidR="00D27D8D" w:rsidRPr="00BB2AEB" w:rsidRDefault="007022B7" w:rsidP="00BB2AEB">
      <w:pPr>
        <w:pStyle w:val="Puntoelenco"/>
        <w:jc w:val="both"/>
        <w:rPr>
          <w:rFonts w:ascii="Times New Roman" w:hAnsi="Times New Roman" w:cs="Times New Roman"/>
        </w:rPr>
      </w:pPr>
      <w:r w:rsidRPr="00376275">
        <w:rPr>
          <w:rFonts w:ascii="Times New Roman" w:hAnsi="Times New Roman" w:cs="Times New Roman"/>
        </w:rPr>
        <w:t>In the case of non-EU candidates, the declaration of being holders of a regular residence permit pursuant to Legislative Decree no. 286 of 1998, as subsequent modified or integrated, or, alternatively, declare that they have applied for it, that they hold refugee status or subsidiary protection status, which allow the stipulation of a self-employment contract for teaching activities carried out in the form of coordinated collaboration;</w:t>
      </w:r>
      <w:bookmarkStart w:id="0" w:name="_GoBack"/>
      <w:bookmarkEnd w:id="0"/>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If Italian citizens, the Municipality on whose electoral rolls the candidate is registered, or the reasons for non-registration or cancellation from the electoral rolls;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Enjoyment of civil and political rights in the States of origin or provenance (for foreign citizens);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Not having received criminal convictions in Italy or abroad, not having pending criminal and administrative proceedings, nor having criminal records recordable in the judicial register pursuant to art. 686 of the Italian Code of Criminal Procedure, nor having received measures that exclude from appointment or cause dismissal from employment in Public Administrations;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Possession of the qualification referred to in Art. 4 of this call, indicating the year in which it was obtained and the Institution that issued it;</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Qualifications obtained abroad must be declared equivalent by the competent authority pursuant to art. 38, paragraph 3, of Legislative Decree no. 165/2001. Candidates who have obtained a qualification abroad must attach an official translated certified copy of the same and indicate the details of the equivalence decree for said qualification, issued by the Presidency of the Council of Ministers – Department of Public Function or, alternatively, declare that they have applied for it. It is understood that said declaration of equivalence/equipollence must be possessed by the date of stipulation;</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Any services rendered to Public Administrations and the causes of termination of previous public employment relationships;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Not having been dismissed or discharged from employment in a public administration for persistent insufficient performance, or not having been declared lapsed from state employment, as well as not having been dismissed for having obtained employment through the production of false documents or by fraudulent means;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Pursuant to art.18 paragraph 1 letter c) of Law 240/2010, not being related by kinship or affinity up to and including the fourth degree with a professor belonging to the Department or structure, or with the Rector, the Director General, or a member of the Board of Directors of the University;</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Not simultaneously holding contracts referred to in Article 24 of Law December 30, 2010, no. 240 and not being, at the start date of the assignment, in the conditions of incompatibility governed by art. 13 of the Presidential Decree of July 11, 1980, no. 382;</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Not exceeding, if awarded the contract(s) applied for, the maximum limit of 120 teaching hours per academic year;</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In the case of holding a research fellowship, not exceeding, if awarded the contract(s) applied for, the maximum overall limit of sixty hours of teaching activity per academic year;</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Not having had, for a period of five years, contract terminations pursuant to art. 14, paragraph 4, first sentence, of the "Regulations concerning teaching assignments" of Rectoral Decree no. 1033 of August 23, 2022;</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 xml:space="preserve">Not being, at the start date of the assignment, in the conditions of incompatibility referred to in art. </w:t>
      </w:r>
      <w:proofErr w:type="gramStart"/>
      <w:r w:rsidRPr="00376275">
        <w:rPr>
          <w:rFonts w:ascii="Times New Roman" w:hAnsi="Times New Roman" w:cs="Times New Roman"/>
        </w:rPr>
        <w:t>8</w:t>
      </w:r>
      <w:proofErr w:type="gramEnd"/>
      <w:r w:rsidRPr="00376275">
        <w:rPr>
          <w:rFonts w:ascii="Times New Roman" w:hAnsi="Times New Roman" w:cs="Times New Roman"/>
        </w:rPr>
        <w:t xml:space="preserve"> of the Regulations for the awarding of scholarships and r</w:t>
      </w:r>
      <w:r w:rsidR="00376275" w:rsidRPr="00376275">
        <w:rPr>
          <w:rFonts w:ascii="Times New Roman" w:hAnsi="Times New Roman" w:cs="Times New Roman"/>
        </w:rPr>
        <w:t>esearch grants (D.R. 54/2013).</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Possession of any assessable qualifications;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The domicile, complete with postal code, that the candidate chooses for sending communications relating to the competition; it is specified that the domicile must be located on Italian territory, and this also applies to foreign nationals. Any change of domicile must be promptly communicated.</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5.3 The application must be accompanied by:</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Curriculum vitae et studiorum, dated and signed in original by the candidate, drawn up according to the attached European format (the file must have a maximum size not exceeding 1 MB)...</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List of publications;</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Copy of publications, except for retired professors and researchers of the University;</w:t>
      </w:r>
    </w:p>
    <w:p w:rsidR="00D27D8D" w:rsidRPr="00376275" w:rsidRDefault="007022B7" w:rsidP="00C659A6">
      <w:pPr>
        <w:pStyle w:val="Puntoelenco"/>
        <w:jc w:val="both"/>
        <w:rPr>
          <w:rFonts w:ascii="Times New Roman" w:hAnsi="Times New Roman" w:cs="Times New Roman"/>
        </w:rPr>
      </w:pPr>
      <w:r w:rsidRPr="00376275">
        <w:rPr>
          <w:rFonts w:ascii="Times New Roman" w:hAnsi="Times New Roman" w:cs="Times New Roman"/>
        </w:rPr>
        <w:t>Photocopy of a valid identity document.</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Educational and professional qualifications can be self-certified contextually with the application, it being understood that the candidate who signs the contract may be invited to produce the relative documents within thirty days following the establishment of the employment relationship.</w:t>
      </w:r>
      <w:r w:rsidRPr="00376275">
        <w:rPr>
          <w:rFonts w:ascii="Times New Roman" w:hAnsi="Times New Roman" w:cs="Times New Roman"/>
        </w:rPr>
        <w:br/>
        <w:t>Pursuant to the provisions of art 53 paragraph 6 letter f) bis, teaching assignments carried out by employees of Public Administrations are not subject to the prior clearance (NO) of the organization to which they belong.</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5.4 The University of Florence assumes no responsibility for cases where the recipient cannot be found, for loss of communication due to inaccurate indication of the address by the candidate or due to failed or late communication of the change of address indicated in the application, nor for any electronic glitches or in any case attributable to third parties, chance, or force majeure.</w:t>
      </w:r>
      <w:r w:rsidRPr="00376275">
        <w:rPr>
          <w:rFonts w:ascii="Times New Roman" w:hAnsi="Times New Roman" w:cs="Times New Roman"/>
        </w:rPr>
        <w:br/>
        <w:t>Candidates are admitted to the comparative evaluation provisionally, and their exclusion may be ordered at any time, by a reasoned decision of the Head of the Department due to a lack of requirements.</w:t>
      </w:r>
    </w:p>
    <w:p w:rsidR="00D27D8D" w:rsidRPr="00376275" w:rsidRDefault="007022B7" w:rsidP="00C659A6">
      <w:pPr>
        <w:keepNext/>
        <w:spacing w:before="360"/>
        <w:jc w:val="center"/>
        <w:rPr>
          <w:rFonts w:ascii="Times New Roman" w:hAnsi="Times New Roman" w:cs="Times New Roman"/>
        </w:rPr>
      </w:pPr>
      <w:r w:rsidRPr="00376275">
        <w:rPr>
          <w:rFonts w:ascii="Times New Roman" w:hAnsi="Times New Roman" w:cs="Times New Roman"/>
          <w:b/>
          <w:sz w:val="26"/>
        </w:rPr>
        <w:t>Art. 6 – Conduct of the Procedure</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 xml:space="preserve">6.1 The comparative evaluation </w:t>
      </w:r>
      <w:proofErr w:type="gramStart"/>
      <w:r w:rsidRPr="00376275">
        <w:rPr>
          <w:rFonts w:ascii="Times New Roman" w:hAnsi="Times New Roman" w:cs="Times New Roman"/>
        </w:rPr>
        <w:t>will be carried out</w:t>
      </w:r>
      <w:proofErr w:type="gramEnd"/>
      <w:r w:rsidRPr="00376275">
        <w:rPr>
          <w:rFonts w:ascii="Times New Roman" w:hAnsi="Times New Roman" w:cs="Times New Roman"/>
        </w:rPr>
        <w:t xml:space="preserve"> by the Selection Committee appointed for this purpose, with a specific provision of the Head of the Department, upon expiry of the deadline for submitting applications.</w:t>
      </w:r>
      <w:r w:rsidR="00C659A6" w:rsidRPr="00376275">
        <w:rPr>
          <w:rFonts w:ascii="Times New Roman" w:hAnsi="Times New Roman" w:cs="Times New Roman"/>
        </w:rPr>
        <w:t xml:space="preserve"> </w:t>
      </w:r>
      <w:r w:rsidRPr="00376275">
        <w:rPr>
          <w:rFonts w:ascii="Times New Roman" w:hAnsi="Times New Roman" w:cs="Times New Roman"/>
        </w:rPr>
        <w:t>The Committee will be composed of three members, including at least one Full Professor (Professore di prima fascia) acting as chairperson.</w:t>
      </w:r>
      <w:r w:rsidR="00C659A6" w:rsidRPr="00376275">
        <w:rPr>
          <w:rFonts w:ascii="Times New Roman" w:hAnsi="Times New Roman" w:cs="Times New Roman"/>
        </w:rPr>
        <w:t xml:space="preserve"> </w:t>
      </w:r>
      <w:r w:rsidRPr="00376275">
        <w:rPr>
          <w:rFonts w:ascii="Times New Roman" w:hAnsi="Times New Roman" w:cs="Times New Roman"/>
        </w:rPr>
        <w:t xml:space="preserve">The members of the Committee </w:t>
      </w:r>
      <w:proofErr w:type="gramStart"/>
      <w:r w:rsidRPr="00376275">
        <w:rPr>
          <w:rFonts w:ascii="Times New Roman" w:hAnsi="Times New Roman" w:cs="Times New Roman"/>
        </w:rPr>
        <w:t>are chosen</w:t>
      </w:r>
      <w:proofErr w:type="gramEnd"/>
      <w:r w:rsidRPr="00376275">
        <w:rPr>
          <w:rFonts w:ascii="Times New Roman" w:hAnsi="Times New Roman" w:cs="Times New Roman"/>
        </w:rPr>
        <w:t xml:space="preserve"> from Professors and Researchers belonging to the competition sector to which the scientific-disciplinary sector of the activity covered by the selection belongs or, in cases of motivated necessity, to the macro-sector.</w:t>
      </w:r>
      <w:r w:rsidRPr="00376275">
        <w:rPr>
          <w:rFonts w:ascii="Times New Roman" w:hAnsi="Times New Roman" w:cs="Times New Roman"/>
        </w:rPr>
        <w:br/>
        <w:t>Following the entry into force of the decree of the Minister of University and Research referred to in Article 15 of Law December 30, 2010, no. 240, as amended by Law June 29, 2022, no. 79, the members of the Committee are chosen from Professors and researchers belonging to the scientific-disciplinary group.</w:t>
      </w:r>
      <w:r w:rsidRPr="00376275">
        <w:rPr>
          <w:rFonts w:ascii="Times New Roman" w:hAnsi="Times New Roman" w:cs="Times New Roman"/>
        </w:rPr>
        <w:br/>
        <w:t>In the event of multiple selections for the same scientific-disciplinary sector or, following the entry into force of the ministerial decree, for the same scientific-disciplinary group, a single Committee shall be appointed.</w:t>
      </w:r>
      <w:r w:rsidRPr="00376275">
        <w:rPr>
          <w:rFonts w:ascii="Times New Roman" w:hAnsi="Times New Roman" w:cs="Times New Roman"/>
        </w:rPr>
        <w:br/>
        <w:t>In the presence of agreements with other entities, the Committees may be composed according to the provisions of the agreements themselves, without prejudice to the need for at least two members appointed pursuant to paragraph 9 of this article to be part of them.</w:t>
      </w:r>
      <w:r w:rsidRPr="00376275">
        <w:rPr>
          <w:rFonts w:ascii="Times New Roman" w:hAnsi="Times New Roman" w:cs="Times New Roman"/>
        </w:rPr>
        <w:br/>
        <w:t>The Committee carries out its work in the presence of all members and takes its decisions by an absolute majority. It may make use of electronic tools for collective work.</w:t>
      </w:r>
    </w:p>
    <w:p w:rsidR="00D27D8D" w:rsidRPr="00376275" w:rsidRDefault="007022B7" w:rsidP="00C659A6">
      <w:pPr>
        <w:jc w:val="both"/>
        <w:rPr>
          <w:rFonts w:ascii="Times New Roman" w:hAnsi="Times New Roman" w:cs="Times New Roman"/>
        </w:rPr>
      </w:pPr>
      <w:proofErr w:type="gramStart"/>
      <w:r w:rsidRPr="00376275">
        <w:rPr>
          <w:rFonts w:ascii="Times New Roman" w:hAnsi="Times New Roman" w:cs="Times New Roman"/>
        </w:rPr>
        <w:t>6.2 The comparative evaluation is based solely on qualifications (per soli titoli) and is intended to ascertain the appropriate qualification and competence of the candidates with respect to the specific functions of the required profile, on the basis of scientific and/or professional qualification, and takes into account the complex of scientific publications, the CV of the candidates with particular reference to the scientific-disciplinary sector or group inherent to the activity to be carried out, past teaching activity, and professional skills acquired, with particular preference for the subject area of the call and for the conduct of research activities in Italy and abroad.</w:t>
      </w:r>
      <w:proofErr w:type="gramEnd"/>
      <w:r w:rsidR="00C659A6" w:rsidRPr="00376275">
        <w:rPr>
          <w:rFonts w:ascii="Times New Roman" w:hAnsi="Times New Roman" w:cs="Times New Roman"/>
        </w:rPr>
        <w:t xml:space="preserve"> </w:t>
      </w:r>
      <w:r w:rsidRPr="00376275">
        <w:rPr>
          <w:rFonts w:ascii="Times New Roman" w:hAnsi="Times New Roman" w:cs="Times New Roman"/>
        </w:rPr>
        <w:t>The possession of a PhD, medical specialization, scientific qualification (Abilitazione Scientifica Nazionale) referred to in art. 16 of Law December 30, 2010, no. 240, or equivalent qualifications obtained abroad, constitutes a preferential title for the attribution of the aforementioned contracts in the event of an equal evaluation.</w:t>
      </w:r>
    </w:p>
    <w:p w:rsidR="00D27D8D" w:rsidRPr="007022B7" w:rsidRDefault="007022B7" w:rsidP="00C659A6">
      <w:pPr>
        <w:jc w:val="both"/>
        <w:rPr>
          <w:rFonts w:ascii="Times New Roman" w:hAnsi="Times New Roman" w:cs="Times New Roman"/>
          <w:b/>
        </w:rPr>
      </w:pPr>
      <w:r w:rsidRPr="007022B7">
        <w:rPr>
          <w:rFonts w:ascii="Times New Roman" w:hAnsi="Times New Roman" w:cs="Times New Roman"/>
          <w:b/>
        </w:rPr>
        <w:t>The Selection Committee will have 100 total points available, distributed as follows:</w:t>
      </w:r>
    </w:p>
    <w:p w:rsidR="00D27D8D" w:rsidRPr="007022B7" w:rsidRDefault="007022B7" w:rsidP="00C659A6">
      <w:pPr>
        <w:pStyle w:val="Puntoelenco"/>
        <w:jc w:val="both"/>
        <w:rPr>
          <w:rFonts w:ascii="Times New Roman" w:hAnsi="Times New Roman" w:cs="Times New Roman"/>
          <w:b/>
        </w:rPr>
      </w:pPr>
      <w:r w:rsidRPr="007022B7">
        <w:rPr>
          <w:rFonts w:ascii="Times New Roman" w:hAnsi="Times New Roman" w:cs="Times New Roman"/>
          <w:b/>
        </w:rPr>
        <w:t>Up to a maximum of 20 points: for the CV, with particular regard to the scientific-disciplinary sector considered in the comparative selection;</w:t>
      </w:r>
    </w:p>
    <w:p w:rsidR="00D27D8D" w:rsidRPr="007022B7" w:rsidRDefault="007022B7" w:rsidP="00C659A6">
      <w:pPr>
        <w:pStyle w:val="Puntoelenco"/>
        <w:jc w:val="both"/>
        <w:rPr>
          <w:rFonts w:ascii="Times New Roman" w:hAnsi="Times New Roman" w:cs="Times New Roman"/>
          <w:b/>
        </w:rPr>
      </w:pPr>
      <w:r w:rsidRPr="007022B7">
        <w:rPr>
          <w:rFonts w:ascii="Times New Roman" w:hAnsi="Times New Roman" w:cs="Times New Roman"/>
          <w:b/>
        </w:rPr>
        <w:t>Up to a maximum of 20 points: for research activities in Italy or abroad and scientific publications;</w:t>
      </w:r>
    </w:p>
    <w:p w:rsidR="00D27D8D" w:rsidRPr="007022B7" w:rsidRDefault="007022B7" w:rsidP="00C659A6">
      <w:pPr>
        <w:pStyle w:val="Puntoelenco"/>
        <w:jc w:val="both"/>
        <w:rPr>
          <w:rFonts w:ascii="Times New Roman" w:hAnsi="Times New Roman" w:cs="Times New Roman"/>
          <w:b/>
        </w:rPr>
      </w:pPr>
      <w:r w:rsidRPr="007022B7">
        <w:rPr>
          <w:rFonts w:ascii="Times New Roman" w:hAnsi="Times New Roman" w:cs="Times New Roman"/>
          <w:b/>
        </w:rPr>
        <w:t>Up to a maximum of 40 points: for past teaching activity and professional experience gained with particular regard to the object of the comparative selection;</w:t>
      </w:r>
    </w:p>
    <w:p w:rsidR="00D27D8D" w:rsidRPr="007022B7" w:rsidRDefault="007022B7" w:rsidP="00C659A6">
      <w:pPr>
        <w:pStyle w:val="Puntoelenco"/>
        <w:jc w:val="both"/>
        <w:rPr>
          <w:rFonts w:ascii="Times New Roman" w:hAnsi="Times New Roman" w:cs="Times New Roman"/>
          <w:b/>
        </w:rPr>
      </w:pPr>
      <w:r w:rsidRPr="007022B7">
        <w:rPr>
          <w:rFonts w:ascii="Times New Roman" w:hAnsi="Times New Roman" w:cs="Times New Roman"/>
          <w:b/>
        </w:rPr>
        <w:t>Up to a maximum of 20 points: for a PhD and/or specialization diploma.</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 xml:space="preserve">6.3 At the end of the evaluation procedure, the Committee will draw up a report of the operations completed, accounting for the evaluations expressed towards </w:t>
      </w:r>
      <w:r w:rsidRPr="00376275">
        <w:rPr>
          <w:rFonts w:ascii="Times New Roman" w:hAnsi="Times New Roman" w:cs="Times New Roman"/>
          <w:b/>
        </w:rPr>
        <w:t xml:space="preserve">the candidates who, to be declared eligible, must have achieved a minimum overall score of </w:t>
      </w:r>
      <w:r w:rsidR="00C659A6" w:rsidRPr="00376275">
        <w:rPr>
          <w:rFonts w:ascii="Times New Roman" w:hAnsi="Times New Roman" w:cs="Times New Roman"/>
          <w:b/>
        </w:rPr>
        <w:t xml:space="preserve">50 </w:t>
      </w:r>
      <w:r w:rsidRPr="00376275">
        <w:rPr>
          <w:rFonts w:ascii="Times New Roman" w:hAnsi="Times New Roman" w:cs="Times New Roman"/>
          <w:b/>
        </w:rPr>
        <w:t>points</w:t>
      </w:r>
      <w:r w:rsidRPr="00376275">
        <w:rPr>
          <w:rFonts w:ascii="Times New Roman" w:hAnsi="Times New Roman" w:cs="Times New Roman"/>
        </w:rPr>
        <w:t>.</w:t>
      </w:r>
      <w:r w:rsidR="00C659A6" w:rsidRPr="00376275">
        <w:rPr>
          <w:rFonts w:ascii="Times New Roman" w:hAnsi="Times New Roman" w:cs="Times New Roman"/>
        </w:rPr>
        <w:t xml:space="preserve"> </w:t>
      </w:r>
      <w:r w:rsidRPr="00376275">
        <w:rPr>
          <w:rFonts w:ascii="Times New Roman" w:hAnsi="Times New Roman" w:cs="Times New Roman"/>
        </w:rPr>
        <w:t>The Administration reserves the right to carry out appropriate checks on the veracity of the substitute declarations contained in the application form and in the CV.</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6.4 The Committee formulates a ranking list of eligible candidates which is valid exclusively for the academic year for which the selection was carried out. It is possible to draw from this ranking list in the event of withdrawal of the candidate placed in first place, or termination of the relationship during the academic year.</w:t>
      </w:r>
      <w:r w:rsidR="00C659A6" w:rsidRPr="00376275">
        <w:rPr>
          <w:rFonts w:ascii="Times New Roman" w:hAnsi="Times New Roman" w:cs="Times New Roman"/>
        </w:rPr>
        <w:t xml:space="preserve"> </w:t>
      </w:r>
      <w:r w:rsidRPr="00376275">
        <w:rPr>
          <w:rFonts w:ascii="Times New Roman" w:hAnsi="Times New Roman" w:cs="Times New Roman"/>
        </w:rPr>
        <w:t xml:space="preserve">In the event of participation of a single candidate, their eligibility </w:t>
      </w:r>
      <w:proofErr w:type="gramStart"/>
      <w:r w:rsidRPr="00376275">
        <w:rPr>
          <w:rFonts w:ascii="Times New Roman" w:hAnsi="Times New Roman" w:cs="Times New Roman"/>
        </w:rPr>
        <w:t>must still be evaluated</w:t>
      </w:r>
      <w:proofErr w:type="gramEnd"/>
      <w:r w:rsidRPr="00376275">
        <w:rPr>
          <w:rFonts w:ascii="Times New Roman" w:hAnsi="Times New Roman" w:cs="Times New Roman"/>
        </w:rPr>
        <w:t>.</w:t>
      </w:r>
      <w:r w:rsidRPr="00376275">
        <w:rPr>
          <w:rFonts w:ascii="Times New Roman" w:hAnsi="Times New Roman" w:cs="Times New Roman"/>
        </w:rPr>
        <w:br/>
        <w:t>The self-employment assignment carried out in the form of coordinated collaboration for teaching activities is conferred upon the candidate who achieves the highest score;</w:t>
      </w:r>
      <w:r w:rsidR="00C659A6" w:rsidRPr="00376275">
        <w:rPr>
          <w:rFonts w:ascii="Times New Roman" w:hAnsi="Times New Roman" w:cs="Times New Roman"/>
        </w:rPr>
        <w:t xml:space="preserve"> </w:t>
      </w:r>
      <w:r w:rsidRPr="00376275">
        <w:rPr>
          <w:rFonts w:ascii="Times New Roman" w:hAnsi="Times New Roman" w:cs="Times New Roman"/>
        </w:rPr>
        <w:t xml:space="preserve">In case of equal scores, the possession of a PhD, medical specialization, </w:t>
      </w:r>
      <w:proofErr w:type="gramStart"/>
      <w:r w:rsidRPr="00376275">
        <w:rPr>
          <w:rFonts w:ascii="Times New Roman" w:hAnsi="Times New Roman" w:cs="Times New Roman"/>
        </w:rPr>
        <w:t>scientific</w:t>
      </w:r>
      <w:proofErr w:type="gramEnd"/>
      <w:r w:rsidRPr="00376275">
        <w:rPr>
          <w:rFonts w:ascii="Times New Roman" w:hAnsi="Times New Roman" w:cs="Times New Roman"/>
        </w:rPr>
        <w:t xml:space="preserve"> qualification referred to in art. 16 of Law 240/2010, or equivalent qualifications obtained abroad, constitutes a preferential title for the attribution of the contract. In case of equal scores and in the presence of the aforementioned preferential titles, or in the absence of such titles, the younger candidate precedes.</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6.6 Public notice of the ranking list will be given in the Official Register of the University (Albo ufficiale dell'Ateneo) and on the website of the Department of Experimental and Clinical Medicine. All information, modifications, and integrations relating to this notice will be made known in the Official Register of the University, where the composition of the Committee will also be published, and on the Department's website.</w:t>
      </w:r>
    </w:p>
    <w:p w:rsidR="00D27D8D" w:rsidRPr="00376275" w:rsidRDefault="007022B7" w:rsidP="00C659A6">
      <w:pPr>
        <w:keepNext/>
        <w:spacing w:before="360"/>
        <w:jc w:val="center"/>
        <w:rPr>
          <w:rFonts w:ascii="Times New Roman" w:hAnsi="Times New Roman" w:cs="Times New Roman"/>
        </w:rPr>
      </w:pPr>
      <w:r w:rsidRPr="00376275">
        <w:rPr>
          <w:rFonts w:ascii="Times New Roman" w:hAnsi="Times New Roman" w:cs="Times New Roman"/>
          <w:b/>
          <w:sz w:val="26"/>
        </w:rPr>
        <w:t>Art. 7 – Stipulation of the Contract</w:t>
      </w:r>
    </w:p>
    <w:p w:rsidR="00C659A6" w:rsidRPr="00376275" w:rsidRDefault="007022B7" w:rsidP="00C659A6">
      <w:pPr>
        <w:jc w:val="both"/>
        <w:rPr>
          <w:rFonts w:ascii="Times New Roman" w:hAnsi="Times New Roman" w:cs="Times New Roman"/>
        </w:rPr>
      </w:pPr>
      <w:r w:rsidRPr="00376275">
        <w:rPr>
          <w:rFonts w:ascii="Times New Roman" w:hAnsi="Times New Roman" w:cs="Times New Roman"/>
        </w:rPr>
        <w:t xml:space="preserve">The winning candidates </w:t>
      </w:r>
      <w:proofErr w:type="gramStart"/>
      <w:r w:rsidRPr="00376275">
        <w:rPr>
          <w:rFonts w:ascii="Times New Roman" w:hAnsi="Times New Roman" w:cs="Times New Roman"/>
        </w:rPr>
        <w:t>will be invited</w:t>
      </w:r>
      <w:proofErr w:type="gramEnd"/>
      <w:r w:rsidRPr="00376275">
        <w:rPr>
          <w:rFonts w:ascii="Times New Roman" w:hAnsi="Times New Roman" w:cs="Times New Roman"/>
        </w:rPr>
        <w:t xml:space="preserve"> to stipulate an individual self-employment contract carried out in the form of coordinated collaboration.</w:t>
      </w:r>
      <w:r w:rsidR="00C659A6" w:rsidRPr="00376275">
        <w:rPr>
          <w:rFonts w:ascii="Times New Roman" w:hAnsi="Times New Roman" w:cs="Times New Roman"/>
        </w:rPr>
        <w:t xml:space="preserve"> </w:t>
      </w:r>
      <w:r w:rsidRPr="00376275">
        <w:rPr>
          <w:rFonts w:ascii="Times New Roman" w:hAnsi="Times New Roman" w:cs="Times New Roman"/>
        </w:rPr>
        <w:t>In the case of non-EU candidates, the stipulation of the contract will also be conditional on the possession of documents proving regular stay pursuant to Legislative Decree no. 286 of 1998, as subsequently modified or integrated, or holding refugee status or subsidiary protection status.</w:t>
      </w:r>
      <w:r w:rsidR="00C659A6" w:rsidRPr="00376275">
        <w:rPr>
          <w:rFonts w:ascii="Times New Roman" w:hAnsi="Times New Roman" w:cs="Times New Roman"/>
        </w:rPr>
        <w:t xml:space="preserve"> </w:t>
      </w:r>
      <w:r w:rsidRPr="00376275">
        <w:rPr>
          <w:rFonts w:ascii="Times New Roman" w:hAnsi="Times New Roman" w:cs="Times New Roman"/>
        </w:rPr>
        <w:t xml:space="preserve">Failure to show up </w:t>
      </w:r>
      <w:proofErr w:type="gramStart"/>
      <w:r w:rsidRPr="00376275">
        <w:rPr>
          <w:rFonts w:ascii="Times New Roman" w:hAnsi="Times New Roman" w:cs="Times New Roman"/>
        </w:rPr>
        <w:t>will be understood</w:t>
      </w:r>
      <w:proofErr w:type="gramEnd"/>
      <w:r w:rsidRPr="00376275">
        <w:rPr>
          <w:rFonts w:ascii="Times New Roman" w:hAnsi="Times New Roman" w:cs="Times New Roman"/>
        </w:rPr>
        <w:t xml:space="preserve"> as a withdrawal from the stipulation of the contract.</w:t>
      </w:r>
      <w:r w:rsidR="00C659A6" w:rsidRPr="00376275">
        <w:rPr>
          <w:rFonts w:ascii="Times New Roman" w:hAnsi="Times New Roman" w:cs="Times New Roman"/>
        </w:rPr>
        <w:t xml:space="preserve"> </w:t>
      </w:r>
    </w:p>
    <w:p w:rsidR="00C659A6" w:rsidRPr="00376275" w:rsidRDefault="007022B7" w:rsidP="00C659A6">
      <w:pPr>
        <w:jc w:val="both"/>
        <w:rPr>
          <w:rFonts w:ascii="Times New Roman" w:hAnsi="Times New Roman" w:cs="Times New Roman"/>
        </w:rPr>
      </w:pPr>
      <w:proofErr w:type="gramStart"/>
      <w:r w:rsidRPr="00376275">
        <w:rPr>
          <w:rFonts w:ascii="Times New Roman" w:hAnsi="Times New Roman" w:cs="Times New Roman"/>
        </w:rPr>
        <w:t>The contract is understood to be terminated if it is possible to ensure the coverage of the teaching module with professors or researchers of the University who have taken up service following the completion of recruitment procedures, concluded before the start of the teaching activity, and referred to the sector under article 8, paragraph 2, letter b), of the "Regulations concerning teaching assignments" of Rectoral Decree no. 1033 of August 23, 2022.</w:t>
      </w:r>
      <w:proofErr w:type="gramEnd"/>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The contract is also understood to be terminated if, following entry into service resulting from recruitment procedures concluded before the start of teaching activities, the internal reorganization of teaching loads allows ensuring the coverage of the teaching module with professors or researchers currently in service.</w:t>
      </w:r>
    </w:p>
    <w:p w:rsidR="00D27D8D" w:rsidRPr="00376275" w:rsidRDefault="007022B7" w:rsidP="00C659A6">
      <w:pPr>
        <w:keepNext/>
        <w:spacing w:before="360"/>
        <w:jc w:val="center"/>
        <w:rPr>
          <w:rFonts w:ascii="Times New Roman" w:hAnsi="Times New Roman" w:cs="Times New Roman"/>
        </w:rPr>
      </w:pPr>
      <w:r w:rsidRPr="00376275">
        <w:rPr>
          <w:rFonts w:ascii="Times New Roman" w:hAnsi="Times New Roman" w:cs="Times New Roman"/>
          <w:b/>
          <w:sz w:val="26"/>
        </w:rPr>
        <w:t>Art. 8 – Intellectual Property</w:t>
      </w:r>
    </w:p>
    <w:p w:rsidR="00C659A6" w:rsidRPr="00376275" w:rsidRDefault="007022B7" w:rsidP="00C659A6">
      <w:pPr>
        <w:jc w:val="both"/>
        <w:rPr>
          <w:rFonts w:ascii="Times New Roman" w:hAnsi="Times New Roman" w:cs="Times New Roman"/>
        </w:rPr>
      </w:pPr>
      <w:proofErr w:type="gramStart"/>
      <w:r w:rsidRPr="00376275">
        <w:rPr>
          <w:rFonts w:ascii="Times New Roman" w:hAnsi="Times New Roman" w:cs="Times New Roman"/>
        </w:rPr>
        <w:t>1. Pursuant to Legislative Decree no. 30 of 2005 (Industrial Property Code), as amended by Law no. 102 of July 24, 2023, the intellectual and industrial property rights relating to inventions or creations achieved by the worker in the execution or fulfillment of this contract belong to the University, except for the right of the inventor to be recognized as the author, under the terms established by law and by the University Regulations issued with D.R. 55/2025.</w:t>
      </w:r>
      <w:proofErr w:type="gramEnd"/>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2. The provisions of paragraph 1 of this article apply to inventions and creations achieved by the worker within two years from when the researcher has ceased their relationship with the University.</w:t>
      </w:r>
    </w:p>
    <w:p w:rsidR="00D27D8D" w:rsidRPr="00376275" w:rsidRDefault="007022B7" w:rsidP="00C659A6">
      <w:pPr>
        <w:keepNext/>
        <w:spacing w:before="360"/>
        <w:jc w:val="center"/>
        <w:rPr>
          <w:rFonts w:ascii="Times New Roman" w:hAnsi="Times New Roman" w:cs="Times New Roman"/>
        </w:rPr>
      </w:pPr>
      <w:r w:rsidRPr="00376275">
        <w:rPr>
          <w:rFonts w:ascii="Times New Roman" w:hAnsi="Times New Roman" w:cs="Times New Roman"/>
          <w:b/>
          <w:sz w:val="26"/>
        </w:rPr>
        <w:t>Art. 9 – Health and Safety in the Workplace</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Candidates acknowledge that, pursuant to Legislative Decree 81/08 and the "University Regulations for safety and health in the workplace" of the University of Florence (Decree prot. no. 79162 of 26/05/2017), where the conditions are met, they are required to cooperate in the correct implementation of the measures put in place for risk prevention and workplace safety, fulfilling the obligations provided for by current legislation and observing the provisions given by the persons in charge.</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Candidates, if by reason of the specific activity carried out they are exposed to specific and identified risks, acknowledge that they are required to undergo the health checks provided for by current legislative and regulatory provisions or arranged by the competent doctor within the health surveillance activity provided for by art. 41 of the cited Legislative Decree.</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 xml:space="preserve">Candidates also acknowledge that the University of Florence adopts prevention and protection measures before risk activities </w:t>
      </w:r>
      <w:proofErr w:type="gramStart"/>
      <w:r w:rsidRPr="00376275">
        <w:rPr>
          <w:rFonts w:ascii="Times New Roman" w:hAnsi="Times New Roman" w:cs="Times New Roman"/>
        </w:rPr>
        <w:t>are put</w:t>
      </w:r>
      <w:proofErr w:type="gramEnd"/>
      <w:r w:rsidRPr="00376275">
        <w:rPr>
          <w:rFonts w:ascii="Times New Roman" w:hAnsi="Times New Roman" w:cs="Times New Roman"/>
        </w:rPr>
        <w:t xml:space="preserve"> in place, informing workers about health and safety risks and the relative prevention and protection measures to be adopted.</w:t>
      </w:r>
      <w:r w:rsidR="00C659A6" w:rsidRPr="00376275">
        <w:rPr>
          <w:rFonts w:ascii="Times New Roman" w:hAnsi="Times New Roman" w:cs="Times New Roman"/>
        </w:rPr>
        <w:t xml:space="preserve"> </w:t>
      </w:r>
      <w:r w:rsidRPr="00376275">
        <w:rPr>
          <w:rFonts w:ascii="Times New Roman" w:hAnsi="Times New Roman" w:cs="Times New Roman"/>
        </w:rPr>
        <w:t xml:space="preserve">It </w:t>
      </w:r>
      <w:proofErr w:type="gramStart"/>
      <w:r w:rsidRPr="00376275">
        <w:rPr>
          <w:rFonts w:ascii="Times New Roman" w:hAnsi="Times New Roman" w:cs="Times New Roman"/>
        </w:rPr>
        <w:t>is understood</w:t>
      </w:r>
      <w:proofErr w:type="gramEnd"/>
      <w:r w:rsidRPr="00376275">
        <w:rPr>
          <w:rFonts w:ascii="Times New Roman" w:hAnsi="Times New Roman" w:cs="Times New Roman"/>
        </w:rPr>
        <w:t xml:space="preserve"> that candidates undertake to attend training courses on health and safety in the workplace with reference to the activity carried out and in compliance with the provisions of the State-Regions Agreement of 21/12/11.</w:t>
      </w:r>
    </w:p>
    <w:p w:rsidR="00D27D8D" w:rsidRPr="00376275" w:rsidRDefault="007022B7" w:rsidP="00C659A6">
      <w:pPr>
        <w:keepNext/>
        <w:spacing w:before="360"/>
        <w:jc w:val="center"/>
        <w:rPr>
          <w:rFonts w:ascii="Times New Roman" w:hAnsi="Times New Roman" w:cs="Times New Roman"/>
        </w:rPr>
      </w:pPr>
      <w:r w:rsidRPr="00376275">
        <w:rPr>
          <w:rFonts w:ascii="Times New Roman" w:hAnsi="Times New Roman" w:cs="Times New Roman"/>
          <w:b/>
          <w:sz w:val="26"/>
        </w:rPr>
        <w:t>Art. 10 – Competent Organizational Unit and Head of the Procedure</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 xml:space="preserve">Pursuant to Law no. 241/1990 as amended, as well as the "Regulations on administrative procedures of the University of Florence", the Department of Experimental and Clinical Medicine </w:t>
      </w:r>
      <w:proofErr w:type="gramStart"/>
      <w:r w:rsidRPr="00376275">
        <w:rPr>
          <w:rFonts w:ascii="Times New Roman" w:hAnsi="Times New Roman" w:cs="Times New Roman"/>
        </w:rPr>
        <w:t>is identified</w:t>
      </w:r>
      <w:proofErr w:type="gramEnd"/>
      <w:r w:rsidRPr="00376275">
        <w:rPr>
          <w:rFonts w:ascii="Times New Roman" w:hAnsi="Times New Roman" w:cs="Times New Roman"/>
        </w:rPr>
        <w:t xml:space="preserve"> as the competent organizational unit.</w:t>
      </w:r>
      <w:r w:rsidR="00C659A6" w:rsidRPr="00376275">
        <w:rPr>
          <w:rFonts w:ascii="Times New Roman" w:hAnsi="Times New Roman" w:cs="Times New Roman"/>
        </w:rPr>
        <w:t xml:space="preserve"> </w:t>
      </w:r>
      <w:r w:rsidRPr="00376275">
        <w:rPr>
          <w:rFonts w:ascii="Times New Roman" w:hAnsi="Times New Roman" w:cs="Times New Roman"/>
        </w:rPr>
        <w:t>The head of the procedure is Dr. Ferrari Valentina, tel. 055.275.1893.</w:t>
      </w:r>
    </w:p>
    <w:p w:rsidR="00C659A6" w:rsidRPr="00376275" w:rsidRDefault="007022B7" w:rsidP="00C659A6">
      <w:pPr>
        <w:spacing w:before="360"/>
        <w:jc w:val="both"/>
        <w:rPr>
          <w:rFonts w:ascii="Times New Roman" w:hAnsi="Times New Roman" w:cs="Times New Roman"/>
          <w:b/>
        </w:rPr>
      </w:pPr>
      <w:r w:rsidRPr="00376275">
        <w:rPr>
          <w:rFonts w:ascii="Times New Roman" w:hAnsi="Times New Roman" w:cs="Times New Roman"/>
          <w:b/>
        </w:rPr>
        <w:t>Florence,</w:t>
      </w:r>
    </w:p>
    <w:p w:rsidR="00D27D8D" w:rsidRPr="00376275" w:rsidRDefault="007022B7" w:rsidP="00C659A6">
      <w:pPr>
        <w:spacing w:before="360"/>
        <w:ind w:left="5670"/>
        <w:jc w:val="center"/>
        <w:rPr>
          <w:rFonts w:ascii="Times New Roman" w:hAnsi="Times New Roman" w:cs="Times New Roman"/>
          <w:b/>
        </w:rPr>
      </w:pPr>
      <w:r w:rsidRPr="00376275">
        <w:rPr>
          <w:rFonts w:ascii="Times New Roman" w:hAnsi="Times New Roman" w:cs="Times New Roman"/>
          <w:b/>
        </w:rPr>
        <w:t>THE HEAD OF THE DEPARTMENT</w:t>
      </w:r>
      <w:r w:rsidRPr="00376275">
        <w:rPr>
          <w:rFonts w:ascii="Times New Roman" w:hAnsi="Times New Roman" w:cs="Times New Roman"/>
          <w:b/>
        </w:rPr>
        <w:br/>
        <w:t xml:space="preserve">Prof. Francesco </w:t>
      </w:r>
      <w:proofErr w:type="spellStart"/>
      <w:r w:rsidRPr="00376275">
        <w:rPr>
          <w:rFonts w:ascii="Times New Roman" w:hAnsi="Times New Roman" w:cs="Times New Roman"/>
          <w:b/>
        </w:rPr>
        <w:t>Annunziato</w:t>
      </w:r>
      <w:proofErr w:type="spellEnd"/>
    </w:p>
    <w:p w:rsidR="00C659A6" w:rsidRPr="00376275" w:rsidRDefault="00C659A6" w:rsidP="00C659A6">
      <w:pPr>
        <w:spacing w:before="360"/>
        <w:ind w:left="5670"/>
        <w:jc w:val="center"/>
        <w:rPr>
          <w:rFonts w:ascii="Times New Roman" w:hAnsi="Times New Roman" w:cs="Times New Roman"/>
        </w:rPr>
      </w:pPr>
      <w:r w:rsidRPr="00376275">
        <w:rPr>
          <w:rFonts w:ascii="Times New Roman" w:hAnsi="Times New Roman" w:cs="Times New Roman"/>
          <w:b/>
        </w:rPr>
        <w:t>________________________</w:t>
      </w:r>
    </w:p>
    <w:p w:rsidR="00D27D8D" w:rsidRPr="00376275" w:rsidRDefault="007022B7" w:rsidP="00C659A6">
      <w:pPr>
        <w:keepNext/>
        <w:spacing w:before="360"/>
        <w:jc w:val="both"/>
        <w:rPr>
          <w:rFonts w:ascii="Times New Roman" w:hAnsi="Times New Roman" w:cs="Times New Roman"/>
        </w:rPr>
      </w:pPr>
      <w:r w:rsidRPr="00376275">
        <w:rPr>
          <w:rFonts w:ascii="Times New Roman" w:hAnsi="Times New Roman" w:cs="Times New Roman"/>
          <w:b/>
          <w:sz w:val="26"/>
        </w:rPr>
        <w:t>INFORMATION REGARDING THE PROCESSING OF PERSONAL DATA (ART. 13 REG. EU 2016/679)</w:t>
      </w:r>
    </w:p>
    <w:p w:rsidR="00D27D8D" w:rsidRPr="00376275" w:rsidRDefault="007022B7" w:rsidP="00C659A6">
      <w:pPr>
        <w:jc w:val="both"/>
        <w:rPr>
          <w:rFonts w:ascii="Times New Roman" w:hAnsi="Times New Roman" w:cs="Times New Roman"/>
        </w:rPr>
      </w:pPr>
      <w:r w:rsidRPr="00376275">
        <w:rPr>
          <w:rFonts w:ascii="Times New Roman" w:hAnsi="Times New Roman" w:cs="Times New Roman"/>
        </w:rPr>
        <w:t>For the purposes provided for by EU Regulation no. 2016/679 concerning the protection of natural persons with regard to personal data provided and acquired, as well as the free movement of such data, we inform you that the relative processing will be carried out in compliance with the legislation provided for by the aforementioned Regulation and the consequent rights and obligations.</w:t>
      </w:r>
      <w:r w:rsidRPr="00376275">
        <w:rPr>
          <w:rFonts w:ascii="Times New Roman" w:hAnsi="Times New Roman" w:cs="Times New Roman"/>
        </w:rPr>
        <w:br/>
        <w:t>On the University website, a page dedicated to the topic of personal data protection is present, also containing the information notice for the processing of personal data of external collaborators.</w:t>
      </w:r>
    </w:p>
    <w:sectPr w:rsidR="00D27D8D" w:rsidRPr="00376275" w:rsidSect="00C659A6">
      <w:headerReference w:type="default" r:id="rId8"/>
      <w:pgSz w:w="12240" w:h="15840"/>
      <w:pgMar w:top="326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9A6" w:rsidRDefault="00C659A6" w:rsidP="00C659A6">
      <w:pPr>
        <w:spacing w:after="0" w:line="240" w:lineRule="auto"/>
      </w:pPr>
      <w:r>
        <w:separator/>
      </w:r>
    </w:p>
  </w:endnote>
  <w:endnote w:type="continuationSeparator" w:id="0">
    <w:p w:rsidR="00C659A6" w:rsidRDefault="00C659A6" w:rsidP="00C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altName w:val="Albany"/>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6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9A6" w:rsidRDefault="00C659A6" w:rsidP="00C659A6">
      <w:pPr>
        <w:spacing w:after="0" w:line="240" w:lineRule="auto"/>
      </w:pPr>
      <w:r>
        <w:separator/>
      </w:r>
    </w:p>
  </w:footnote>
  <w:footnote w:type="continuationSeparator" w:id="0">
    <w:p w:rsidR="00C659A6" w:rsidRDefault="00C659A6" w:rsidP="00C65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9A6" w:rsidRDefault="00C659A6">
    <w:pPr>
      <w:pStyle w:val="Intestazione"/>
    </w:pPr>
    <w:r>
      <w:rPr>
        <w:noProof/>
        <w:lang w:val="it-IT" w:eastAsia="it-IT"/>
      </w:rPr>
      <w:drawing>
        <wp:anchor distT="0" distB="0" distL="114300" distR="114300" simplePos="0" relativeHeight="251658752" behindDoc="0" locked="0" layoutInCell="1" allowOverlap="1" wp14:anchorId="117885E9" wp14:editId="57B60586">
          <wp:simplePos x="0" y="0"/>
          <wp:positionH relativeFrom="column">
            <wp:posOffset>4914900</wp:posOffset>
          </wp:positionH>
          <wp:positionV relativeFrom="paragraph">
            <wp:posOffset>219075</wp:posOffset>
          </wp:positionV>
          <wp:extent cx="889000" cy="601345"/>
          <wp:effectExtent l="0" t="0" r="0" b="0"/>
          <wp:wrapNone/>
          <wp:docPr id="1" name="Immagine 2" descr="Immagine che contiene logo, Carattere, simbolo, Elementi grafici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logo, Carattere, simbolo, Elementi grafici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6704" behindDoc="0" locked="0" layoutInCell="1" allowOverlap="1" wp14:anchorId="77D087F5" wp14:editId="15FCC728">
          <wp:simplePos x="0" y="0"/>
          <wp:positionH relativeFrom="column">
            <wp:posOffset>-819150</wp:posOffset>
          </wp:positionH>
          <wp:positionV relativeFrom="paragraph">
            <wp:posOffset>-590550</wp:posOffset>
          </wp:positionV>
          <wp:extent cx="7606665" cy="2160270"/>
          <wp:effectExtent l="0" t="0" r="0" b="0"/>
          <wp:wrapNone/>
          <wp:docPr id="17"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6665" cy="2160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76275"/>
    <w:rsid w:val="007022B7"/>
    <w:rsid w:val="00AA1D8D"/>
    <w:rsid w:val="00B47730"/>
    <w:rsid w:val="00BB2AEB"/>
    <w:rsid w:val="00C659A6"/>
    <w:rsid w:val="00CB0664"/>
    <w:rsid w:val="00D27D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ACB621"/>
  <w14:defaultImageDpi w14:val="300"/>
  <w15:docId w15:val="{75CCAA44-F8DE-4434-B8A6-F3B751D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693F"/>
    <w:pPr>
      <w:spacing w:after="120"/>
    </w:pPr>
    <w:rPr>
      <w:rFonts w:ascii="Arial" w:hAnsi="Arial"/>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ind w:left="360"/>
      <w:contextualSpacing/>
    </w:pPr>
  </w:style>
  <w:style w:type="paragraph" w:styleId="Elencocontinua2">
    <w:name w:val="List Continue 2"/>
    <w:basedOn w:val="Normale"/>
    <w:uiPriority w:val="99"/>
    <w:unhideWhenUsed/>
    <w:rsid w:val="0029639D"/>
    <w:pPr>
      <w:ind w:left="720"/>
      <w:contextualSpacing/>
    </w:pPr>
  </w:style>
  <w:style w:type="paragraph" w:styleId="Elencocontinua3">
    <w:name w:val="List Continue 3"/>
    <w:basedOn w:val="Normale"/>
    <w:uiPriority w:val="99"/>
    <w:unhideWhenUsed/>
    <w:rsid w:val="0029639D"/>
    <w:pPr>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E5F95-F503-4C2E-85E3-773688D7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4721</Words>
  <Characters>26914</Characters>
  <Application>Microsoft Office Word</Application>
  <DocSecurity>0</DocSecurity>
  <Lines>224</Lines>
  <Paragraphs>63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 Ferrari</cp:lastModifiedBy>
  <cp:revision>4</cp:revision>
  <cp:lastPrinted>2026-06-30T06:39:00Z</cp:lastPrinted>
  <dcterms:created xsi:type="dcterms:W3CDTF">2013-12-23T23:15:00Z</dcterms:created>
  <dcterms:modified xsi:type="dcterms:W3CDTF">2026-06-30T13:07:00Z</dcterms:modified>
  <cp:category/>
</cp:coreProperties>
</file>